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2021年度企业合并统计汇总表</w:t>
      </w:r>
    </w:p>
    <w:tbl>
      <w:tblPr>
        <w:tblStyle w:val="3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515"/>
        <w:gridCol w:w="1516"/>
        <w:gridCol w:w="1515"/>
        <w:gridCol w:w="1516"/>
        <w:gridCol w:w="1515"/>
        <w:gridCol w:w="1516"/>
        <w:gridCol w:w="15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资产负债表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XXX公司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XXX公司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XXX公司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年初数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年末数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年初数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年末数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年初数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年末数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年初数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流动资产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流动资产合计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流动负债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流动负债合计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长期负债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负债合计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负债及所有者权益总计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利润表</w:t>
            </w:r>
          </w:p>
        </w:tc>
        <w:tc>
          <w:tcPr>
            <w:tcW w:w="12129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税金及附加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主营业务利润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营业利润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4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填表承诺：本公司承诺所填统计报表数据真实，愿意承担上报虚假数据造成的所有后果。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1719"/>
    <w:rsid w:val="223B1719"/>
    <w:rsid w:val="6CB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永中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2022-03-02T01:59:00Z</dcterms:created>
  <dc:creator>大海之心</dc:creator>
  <cp:lastModifiedBy>henry.yu</cp:lastModifiedBy>
  <dcterms:modified xsi:type="dcterms:W3CDTF">2022-03-04T01:54:25Z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E160F991BDFF4C2D87506AA7A2128B36</vt:lpwstr>
  </property>
</Properties>
</file>